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</w:pPr>
      <w:r>
        <w:rPr>
          <w:rFonts w:ascii="Calibri" w:hAnsi="Calibri"/>
          <w:b/>
          <w:color w:val="0B2C52"/>
          <w:sz w:val="44"/>
        </w:rPr>
        <w:t>ORCA Web Lab &amp; Quantum Chemistry Computational Suite</w:t>
      </w:r>
    </w:p>
    <w:p>
      <w:pPr>
        <w:spacing w:after="240"/>
      </w:pPr>
      <w:r>
        <w:rPr>
          <w:rFonts w:ascii="Calibri" w:hAnsi="Calibri"/>
          <w:i/>
          <w:color w:val="0F766E"/>
          <w:sz w:val="24"/>
        </w:rPr>
        <w:t>Comprehensive Academic User Manual, Theoretical Foundations &amp; Technical Reference Guide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F1F5F9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pPr>
              <w:spacing w:after="40" w:line="288" w:lineRule="auto"/>
            </w:pPr>
            <w:r>
              <w:rPr>
                <w:rFonts w:ascii="Calibri" w:hAnsi="Calibri"/>
                <w:b/>
                <w:color w:val="0B2C52"/>
                <w:sz w:val="18"/>
              </w:rPr>
              <w:t xml:space="preserve">Principal Author &amp; Developer: </w:t>
            </w:r>
            <w:r>
              <w:rPr>
                <w:rFonts w:ascii="Calibri" w:hAnsi="Calibri"/>
                <w:b w:val="0"/>
                <w:color w:val="1E293B"/>
                <w:sz w:val="18"/>
              </w:rPr>
              <w:t>ABDULSALAM S. HASAN (Mosul, Iraq)</w:t>
              <w:br/>
            </w:r>
            <w:r>
              <w:rPr>
                <w:rFonts w:ascii="Calibri" w:hAnsi="Calibri"/>
                <w:b/>
                <w:color w:val="0B2C52"/>
                <w:sz w:val="18"/>
              </w:rPr>
              <w:t xml:space="preserve">Academic Target Software: </w:t>
            </w:r>
            <w:r>
              <w:rPr>
                <w:rFonts w:ascii="Calibri" w:hAnsi="Calibri"/>
                <w:b w:val="0"/>
                <w:color w:val="1E293B"/>
                <w:sz w:val="18"/>
              </w:rPr>
              <w:t>ORCA 6.1 / 6.0 Program Package (FACCTs GmbH / Max Planck Institute)</w:t>
              <w:br/>
            </w:r>
            <w:r>
              <w:rPr>
                <w:rFonts w:ascii="Calibri" w:hAnsi="Calibri"/>
                <w:b/>
                <w:color w:val="0B2C52"/>
                <w:sz w:val="18"/>
              </w:rPr>
              <w:t xml:space="preserve">Platform Architecture: </w:t>
            </w:r>
            <w:r>
              <w:rPr>
                <w:rFonts w:ascii="Calibri" w:hAnsi="Calibri"/>
                <w:b w:val="0"/>
                <w:color w:val="1E293B"/>
                <w:sz w:val="18"/>
              </w:rPr>
              <w:t>Three Unified Studios (Draw Chemistry • ORCA Calculations &amp; Jobs • Quantum Engine &amp; Thermochemistry)</w:t>
              <w:br/>
            </w:r>
            <w:r>
              <w:rPr>
                <w:rFonts w:ascii="Calibri" w:hAnsi="Calibri"/>
                <w:b/>
                <w:color w:val="0B2C52"/>
                <w:sz w:val="18"/>
              </w:rPr>
              <w:t xml:space="preserve">License &amp; Access: </w:t>
            </w:r>
            <w:r>
              <w:rPr>
                <w:rFonts w:ascii="Calibri" w:hAnsi="Calibri"/>
                <w:b w:val="0"/>
                <w:color w:val="1E293B"/>
                <w:sz w:val="18"/>
              </w:rPr>
              <w:t>Open-Access Academic Research Suite (MIT License) • Zero Server Retention Policy</w:t>
              <w:br/>
            </w:r>
            <w:r>
              <w:rPr>
                <w:rFonts w:ascii="Calibri" w:hAnsi="Calibri"/>
                <w:b/>
                <w:color w:val="0B2C52"/>
                <w:sz w:val="18"/>
              </w:rPr>
              <w:t xml:space="preserve">Manual Release: </w:t>
            </w:r>
            <w:r>
              <w:rPr>
                <w:rFonts w:ascii="Calibri" w:hAnsi="Calibri"/>
                <w:b w:val="0"/>
                <w:color w:val="1E293B"/>
                <w:sz w:val="18"/>
              </w:rPr>
              <w:t>Version 2.5 (Comprehensive Academic Edition) | Last Updated: August 2026</w:t>
            </w:r>
          </w:p>
        </w:tc>
      </w:tr>
    </w:tbl>
    <w:p>
      <w:pPr>
        <w:spacing w:after="120"/>
      </w:pPr>
    </w:p>
    <w:p>
      <w:pPr>
        <w:keepNext/>
        <w:spacing w:before="360" w:after="120"/>
      </w:pPr>
      <w:r>
        <w:rPr>
          <w:rFonts w:ascii="Calibri" w:hAnsi="Calibri"/>
          <w:b/>
          <w:color w:val="0B2C52"/>
          <w:sz w:val="31"/>
        </w:rPr>
        <w:t>1. Platform Overview &amp; The Three Unified Studios</w:t>
      </w:r>
    </w:p>
    <w:p>
      <w:pPr>
        <w:spacing w:after="100" w:line="276" w:lineRule="auto"/>
      </w:pPr>
      <w:r>
        <w:rPr>
          <w:rFonts w:ascii="Calibri" w:hAnsi="Calibri"/>
          <w:color w:val="1E293B"/>
          <w:sz w:val="20"/>
        </w:rPr>
        <w:t>ORCA Web Lab is a full-stack, cloud-orchestrated computational chemistry suite developed to bridge the gap between advanced ab initio quantum chemical software (ORCA 6.1) and intuitive, publication-grade web exploration. The platform eliminates traditional command-line configuration hurdles while maintaining strict physical rigor, standard spectroscopic conventions, and reproducible quantum mechanical workflows.</w:t>
      </w:r>
    </w:p>
    <w:p>
      <w:pPr>
        <w:spacing w:after="100" w:line="276" w:lineRule="auto"/>
      </w:pPr>
      <w:r>
        <w:rPr>
          <w:rFonts w:ascii="Calibri" w:hAnsi="Calibri"/>
          <w:b/>
          <w:color w:val="1E293B"/>
          <w:sz w:val="20"/>
        </w:rPr>
        <w:t xml:space="preserve">The Three Unified Studios Model: </w:t>
      </w:r>
      <w:r>
        <w:rPr>
          <w:rFonts w:ascii="Calibri" w:hAnsi="Calibri"/>
          <w:color w:val="1E293B"/>
          <w:sz w:val="20"/>
        </w:rPr>
        <w:t>The system is organized around Three Unified Studios accessible from the central navigation hub:</w:t>
      </w:r>
    </w:p>
    <w:p>
      <w:pPr>
        <w:pStyle w:val="ListBullet"/>
        <w:spacing w:after="60" w:line="276" w:lineRule="auto"/>
      </w:pPr>
      <w:r>
        <w:rPr>
          <w:rFonts w:ascii="Calibri" w:hAnsi="Calibri"/>
          <w:b/>
          <w:color w:val="1E293B"/>
          <w:sz w:val="20"/>
        </w:rPr>
        <w:t>Studio 1: Draw Chemistry (Chemoinformatics &amp; Reaction Engineering):</w:t>
      </w:r>
      <w:r>
        <w:rPr>
          <w:rFonts w:ascii="Calibri" w:hAnsi="Calibri"/>
          <w:color w:val="1E293B"/>
          <w:sz w:val="20"/>
        </w:rPr>
        <w:t xml:space="preserve"> Interactive chemical structure sketcher, automated SMILES/InChI/IUPAC compound resolver via PubChem REST APIs, 3D conformer generation via Universal Force Field (UFF/MMFF94) minimization, collision-free multi-fragment offset positioning, and multi-component reaction balancing with vector SVG / MDL RXN V2000 export.</w:t>
      </w:r>
    </w:p>
    <w:p>
      <w:pPr>
        <w:pStyle w:val="ListBullet"/>
        <w:spacing w:after="60" w:line="276" w:lineRule="auto"/>
      </w:pPr>
      <w:r>
        <w:rPr>
          <w:rFonts w:ascii="Calibri" w:hAnsi="Calibri"/>
          <w:b/>
          <w:color w:val="1E293B"/>
          <w:sz w:val="20"/>
        </w:rPr>
        <w:t>Studio 2: ORCA Calculations &amp; Jobs (Generator &amp; Cloud HPC Orchestrator):</w:t>
      </w:r>
      <w:r>
        <w:rPr>
          <w:rFonts w:ascii="Calibri" w:hAnsi="Calibri"/>
          <w:color w:val="1E293B"/>
          <w:sz w:val="20"/>
        </w:rPr>
        <w:t xml:space="preserve"> Sequential input generator for ORCA 6.1 keywords and blocks, multi-step chained calculation workflows (e.g., Opt -&gt; High-Opt -&gt; Freq -&gt; SP), high-precision coordinate inheritance, and automated cloud HPC execution via user-owned Kaggle accounts with a 5-job concurrency governor and session watchdog auto-recovery.</w:t>
      </w:r>
    </w:p>
    <w:p>
      <w:pPr>
        <w:pStyle w:val="ListBullet"/>
        <w:spacing w:after="60" w:line="276" w:lineRule="auto"/>
      </w:pPr>
      <w:r>
        <w:rPr>
          <w:rFonts w:ascii="Calibri" w:hAnsi="Calibri"/>
          <w:b/>
          <w:color w:val="1E293B"/>
          <w:sz w:val="20"/>
        </w:rPr>
        <w:t>Studio 3: Quantum Engine &amp; Thermochemistry (Spectroscopy &amp; Scientific Audit):</w:t>
      </w:r>
      <w:r>
        <w:rPr>
          <w:rFonts w:ascii="Calibri" w:hAnsi="Calibri"/>
          <w:color w:val="1E293B"/>
          <w:sz w:val="20"/>
        </w:rPr>
        <w:t xml:space="preserve"> High-throughput output log parsing, interactive 3D WebGL molecular geometry rendering, Mulliken/Löwdin/Hirshfeld partial charge mapping, HOMO-LUMO frontier orbital gaps, UV-Vis electronic absorption convolution with experimental overlays, FTIR vibrational spectra with transmittance/absorbance toggles, Conceptual DFT (CDFT) reactivity descriptors, Grimme's Quasi-RRHO thermochemistry, and Bond Dissociation Energies (BDE).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F0FDF4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after="40"/>
            </w:pPr>
            <w:r>
              <w:rPr>
                <w:rFonts w:ascii="Calibri" w:hAnsi="Calibri"/>
                <w:b/>
                <w:color w:val="0B2C52"/>
                <w:sz w:val="19"/>
              </w:rPr>
              <w:t xml:space="preserve">📌 PRIVACY &amp; EPHEMERAL ARCHITECTURE: </w:t>
            </w:r>
            <w:r>
              <w:rPr>
                <w:rFonts w:ascii="Calibri" w:hAnsi="Calibri"/>
                <w:color w:val="1E293B"/>
                <w:sz w:val="19"/>
              </w:rPr>
              <w:t>ORCA Web Lab operates under a strict Zero-Retention Privacy Policy. All Kaggle API credentials, inputs, coordinates, and computation results remain in transient browser storage (localStorage/sessionStorage). No user data or credentials are stored or monetized on any server database.</w:t>
            </w:r>
          </w:p>
        </w:tc>
      </w:tr>
    </w:tbl>
    <w:p>
      <w:pPr>
        <w:spacing w:after="60"/>
      </w:pPr>
    </w:p>
    <w:p>
      <w:pPr>
        <w:keepNext/>
        <w:spacing w:before="360" w:after="120"/>
      </w:pPr>
      <w:r>
        <w:rPr>
          <w:rFonts w:ascii="Calibri" w:hAnsi="Calibri"/>
          <w:b/>
          <w:color w:val="0B2C52"/>
          <w:sz w:val="31"/>
        </w:rPr>
        <w:t>2. Studio 1: Chemoinformatics, 2D Structure Drawing &amp; Reaction Schemes</w:t>
      </w:r>
    </w:p>
    <w:p>
      <w:pPr>
        <w:spacing w:after="100" w:line="276" w:lineRule="auto"/>
      </w:pPr>
      <w:r>
        <w:rPr>
          <w:rFonts w:ascii="Calibri" w:hAnsi="Calibri"/>
          <w:color w:val="1E293B"/>
          <w:sz w:val="20"/>
        </w:rPr>
        <w:t>Studio 1 provides a seamless environment for preparing chemical structures and reaction equations before submission to quantum calculations. It is powered by RDKit backend libraries and an interactive vector canvas.</w:t>
      </w:r>
    </w:p>
    <w:p>
      <w:pPr>
        <w:keepNext/>
        <w:spacing w:before="280" w:after="80"/>
      </w:pPr>
      <w:r>
        <w:rPr>
          <w:rFonts w:ascii="Calibri" w:hAnsi="Calibri"/>
          <w:b/>
          <w:color w:val="0F766E"/>
          <w:sz w:val="25"/>
        </w:rPr>
        <w:t>2.1 Molecule Explorer &amp; Chemical Identifier Translation</w:t>
      </w:r>
    </w:p>
    <w:p>
      <w:pPr>
        <w:pStyle w:val="ListBullet"/>
        <w:spacing w:after="60" w:line="276" w:lineRule="auto"/>
      </w:pPr>
      <w:r>
        <w:rPr>
          <w:rFonts w:ascii="Calibri" w:hAnsi="Calibri"/>
          <w:color w:val="1E293B"/>
          <w:sz w:val="20"/>
        </w:rPr>
        <w:t>Translates IUPAC names, common names, isomeric SMILES, and InChI/InChIKey identifiers into chemical graphs.</w:t>
      </w:r>
    </w:p>
    <w:p>
      <w:pPr>
        <w:pStyle w:val="ListBullet"/>
        <w:spacing w:after="60" w:line="276" w:lineRule="auto"/>
      </w:pPr>
      <w:r>
        <w:rPr>
          <w:rFonts w:ascii="Calibri" w:hAnsi="Calibri"/>
          <w:color w:val="1E293B"/>
          <w:sz w:val="20"/>
        </w:rPr>
        <w:t>Fetches live structural and physical property data from PubChem, including Molecular Weight (MW), Exact Mass, XLogP3, Topological Polar Surface Area (TPSA), Formal Charge, Heavy Atom Count, and H-Bond Donors/Acceptors.</w:t>
      </w:r>
    </w:p>
    <w:p>
      <w:pPr>
        <w:pStyle w:val="ListBullet"/>
        <w:spacing w:after="60" w:line="276" w:lineRule="auto"/>
      </w:pPr>
      <w:r>
        <w:rPr>
          <w:rFonts w:ascii="Calibri" w:hAnsi="Calibri"/>
          <w:color w:val="1E293B"/>
          <w:sz w:val="20"/>
        </w:rPr>
        <w:t>Instant 2D-to-3D embedding using distance geometry algorithms with MMFF94 force-field relaxation.</w:t>
      </w:r>
    </w:p>
    <w:p>
      <w:pPr>
        <w:keepNext/>
        <w:spacing w:before="280" w:after="80"/>
      </w:pPr>
      <w:r>
        <w:rPr>
          <w:rFonts w:ascii="Calibri" w:hAnsi="Calibri"/>
          <w:b/>
          <w:color w:val="0F766E"/>
          <w:sz w:val="25"/>
        </w:rPr>
        <w:t>2.2 2D Drawing Canvas &amp; Multi-Theme Publication Graphics</w:t>
      </w:r>
    </w:p>
    <w:p>
      <w:pPr>
        <w:pStyle w:val="ListBullet"/>
        <w:spacing w:after="60" w:line="276" w:lineRule="auto"/>
      </w:pPr>
      <w:r>
        <w:rPr>
          <w:rFonts w:ascii="Calibri" w:hAnsi="Calibri"/>
          <w:color w:val="1E293B"/>
          <w:sz w:val="20"/>
        </w:rPr>
        <w:t>Draw bonds, rings (benzene, cyclohexane, cyclopentane), heteroatoms, stereochemical wedges, and charges with clean snap-to-grid alignment.</w:t>
      </w:r>
    </w:p>
    <w:p>
      <w:pPr>
        <w:pStyle w:val="ListBullet"/>
        <w:spacing w:after="60" w:line="276" w:lineRule="auto"/>
      </w:pPr>
      <w:r>
        <w:rPr>
          <w:rFonts w:ascii="Calibri" w:hAnsi="Calibri"/>
          <w:color w:val="1E293B"/>
          <w:sz w:val="20"/>
        </w:rPr>
        <w:t>Export vector graphics (SVG) with customizable themes: Pure White (print publishing), Dark Slate (presentations), and Transparent (compositing).</w:t>
      </w:r>
    </w:p>
    <w:p>
      <w:pPr>
        <w:pStyle w:val="ListBullet"/>
        <w:spacing w:after="60" w:line="276" w:lineRule="auto"/>
      </w:pPr>
      <w:r>
        <w:rPr>
          <w:rFonts w:ascii="Calibri" w:hAnsi="Calibri"/>
          <w:color w:val="1E293B"/>
          <w:sz w:val="20"/>
        </w:rPr>
        <w:t>Direct export to MDL Molfile V2000, SD file (.sdf), and Daylight SMILES compatible with ChemDraw, MarvinSketch, and Reaxys.</w:t>
      </w:r>
    </w:p>
    <w:p>
      <w:pPr>
        <w:keepNext/>
        <w:spacing w:before="280" w:after="80"/>
      </w:pPr>
      <w:r>
        <w:rPr>
          <w:rFonts w:ascii="Calibri" w:hAnsi="Calibri"/>
          <w:b/>
          <w:color w:val="0F766E"/>
          <w:sz w:val="25"/>
        </w:rPr>
        <w:t>2.3 Collision-Free Multi-Fragment Positioning &amp; Force Field Relaxation</w:t>
      </w:r>
    </w:p>
    <w:p>
      <w:pPr>
        <w:spacing w:after="100" w:line="276" w:lineRule="auto"/>
      </w:pPr>
      <w:r>
        <w:rPr>
          <w:rFonts w:ascii="Calibri" w:hAnsi="Calibri"/>
          <w:color w:val="1E293B"/>
          <w:sz w:val="20"/>
        </w:rPr>
        <w:t>When assembling bimolecular complexes, solute-solvent clusters, or catalyst-substrate adducts, the system computes the Van der Waals bounding envelopes and applies an iterative collision-free offset along the X/Y axes (minimum clearance &gt;= 2.8 Å). A Universal Force Field (UFF) pre-relaxation step eliminates unphysical steric clashes prior to ab initio optimization.</w:t>
      </w:r>
    </w:p>
    <w:p>
      <w:pPr>
        <w:keepNext/>
        <w:spacing w:before="280" w:after="80"/>
      </w:pPr>
      <w:r>
        <w:rPr>
          <w:rFonts w:ascii="Calibri" w:hAnsi="Calibri"/>
          <w:b/>
          <w:color w:val="0F766E"/>
          <w:sz w:val="25"/>
        </w:rPr>
        <w:t>2.4 Multi-Component Reaction Schemes &amp; Stoichiometric Balancing</w:t>
      </w:r>
    </w:p>
    <w:p>
      <w:pPr>
        <w:pStyle w:val="ListBullet"/>
        <w:spacing w:after="60" w:line="276" w:lineRule="auto"/>
      </w:pPr>
      <w:r>
        <w:rPr>
          <w:rFonts w:ascii="Calibri" w:hAnsi="Calibri"/>
          <w:color w:val="1E293B"/>
          <w:sz w:val="20"/>
        </w:rPr>
        <w:t>Formulate multi-component chemical reactions (e.g., '2 C6H6 + 15 O2 -&gt; 12 CO2 + 6 H2O').</w:t>
      </w:r>
    </w:p>
    <w:p>
      <w:pPr>
        <w:pStyle w:val="ListBullet"/>
        <w:spacing w:after="60" w:line="276" w:lineRule="auto"/>
      </w:pPr>
      <w:r>
        <w:rPr>
          <w:rFonts w:ascii="Calibri" w:hAnsi="Calibri"/>
          <w:color w:val="1E293B"/>
          <w:sz w:val="20"/>
        </w:rPr>
        <w:t>Automated algebraic mass and atom conservation verification ensuring every element and charge balances across reactants and products.</w:t>
      </w:r>
    </w:p>
    <w:p>
      <w:pPr>
        <w:pStyle w:val="ListBullet"/>
        <w:spacing w:after="60" w:line="276" w:lineRule="auto"/>
      </w:pPr>
      <w:r>
        <w:rPr>
          <w:rFonts w:ascii="Calibri" w:hAnsi="Calibri"/>
          <w:color w:val="1E293B"/>
          <w:sz w:val="20"/>
        </w:rPr>
        <w:t>Export publication-quality reaction schemes in MDL RXN V2000 format.</w:t>
      </w:r>
    </w:p>
    <w:p>
      <w:pPr>
        <w:keepNext/>
        <w:spacing w:before="360" w:after="120"/>
      </w:pPr>
      <w:r>
        <w:rPr>
          <w:rFonts w:ascii="Calibri" w:hAnsi="Calibri"/>
          <w:b/>
          <w:color w:val="0B2C52"/>
          <w:sz w:val="31"/>
        </w:rPr>
        <w:t>3. Studio 2: ORCA 6.1 Advanced Input Generation Wizard</w:t>
      </w:r>
    </w:p>
    <w:p>
      <w:pPr>
        <w:spacing w:after="100" w:line="276" w:lineRule="auto"/>
      </w:pPr>
      <w:r>
        <w:rPr>
          <w:rFonts w:ascii="Calibri" w:hAnsi="Calibri"/>
          <w:color w:val="1E293B"/>
          <w:sz w:val="20"/>
        </w:rPr>
        <w:t>The ORCA 6.1 Input Generator follows a validated, multi-step sequential wizard model. It guarantees that generated ORCA input files (.inp) strictly obey ORCA syntax without syntax errors, unrecognized keywords, or silent parameter regressions.</w:t>
      </w:r>
    </w:p>
    <w:p>
      <w:pPr>
        <w:keepNext/>
        <w:spacing w:before="280" w:after="80"/>
      </w:pPr>
      <w:r>
        <w:rPr>
          <w:rFonts w:ascii="Calibri" w:hAnsi="Calibri"/>
          <w:b/>
          <w:color w:val="0F766E"/>
          <w:sz w:val="25"/>
        </w:rPr>
        <w:t>3.1 Theoretical Methods &amp; Functional Taxonomy</w:t>
      </w:r>
    </w:p>
    <w:p>
      <w:pPr>
        <w:pStyle w:val="ListBullet"/>
        <w:spacing w:after="60" w:line="276" w:lineRule="auto"/>
      </w:pPr>
      <w:r>
        <w:rPr>
          <w:rFonts w:ascii="Calibri" w:hAnsi="Calibri"/>
          <w:b/>
          <w:color w:val="1E293B"/>
          <w:sz w:val="20"/>
        </w:rPr>
        <w:t xml:space="preserve">Composite Density Functional Theory (3c Methods): </w:t>
      </w:r>
      <w:r>
        <w:rPr>
          <w:rFonts w:ascii="Calibri" w:hAnsi="Calibri"/>
          <w:color w:val="1E293B"/>
          <w:sz w:val="20"/>
        </w:rPr>
        <w:t xml:space="preserve"> r2SCAN-3c, B97-3c, PBEh-3c, HF-3c, wB97X-3c. These composite approaches evaluate geometry optimizations and vibrational frequencies at high speed while correcting for basis set superposition error (gCP) and dispersion interactions (D3/D4).</w:t>
      </w:r>
    </w:p>
    <w:p>
      <w:pPr>
        <w:pStyle w:val="ListBullet"/>
        <w:spacing w:after="60" w:line="276" w:lineRule="auto"/>
      </w:pPr>
      <w:r>
        <w:rPr>
          <w:rFonts w:ascii="Calibri" w:hAnsi="Calibri"/>
          <w:b/>
          <w:color w:val="1E293B"/>
          <w:sz w:val="20"/>
        </w:rPr>
        <w:t xml:space="preserve">Standard &amp; Range-Separated Hybrids (DFT): </w:t>
      </w:r>
      <w:r>
        <w:rPr>
          <w:rFonts w:ascii="Calibri" w:hAnsi="Calibri"/>
          <w:color w:val="1E293B"/>
          <w:sz w:val="20"/>
        </w:rPr>
        <w:t xml:space="preserve"> B3LYP, PBE0, TPSSh, PW6B95, M06-2X (standard hybrids); CAM-B3LYP, wB97X-D4, wB97M-V, wB97X-V (range-separated hybrids); PBE, BP86, BLYP, r2SCAN, TPSS (pure GGA and meta-GGA).</w:t>
      </w:r>
    </w:p>
    <w:p>
      <w:pPr>
        <w:pStyle w:val="ListBullet"/>
        <w:spacing w:after="60" w:line="276" w:lineRule="auto"/>
      </w:pPr>
      <w:r>
        <w:rPr>
          <w:rFonts w:ascii="Calibri" w:hAnsi="Calibri"/>
          <w:b/>
          <w:color w:val="1E293B"/>
          <w:sz w:val="20"/>
        </w:rPr>
        <w:t xml:space="preserve">Double-Hybrid Functionals: </w:t>
      </w:r>
      <w:r>
        <w:rPr>
          <w:rFonts w:ascii="Calibri" w:hAnsi="Calibri"/>
          <w:color w:val="1E293B"/>
          <w:sz w:val="20"/>
        </w:rPr>
        <w:t xml:space="preserve"> B2PLYP, DSD-PBEP86, DSD-BLYP. Automatically generates the appropriate auxiliary basis sets (RI-JK and AutoAux).</w:t>
      </w:r>
    </w:p>
    <w:p>
      <w:pPr>
        <w:pStyle w:val="ListBullet"/>
        <w:spacing w:after="60" w:line="276" w:lineRule="auto"/>
      </w:pPr>
      <w:r>
        <w:rPr>
          <w:rFonts w:ascii="Calibri" w:hAnsi="Calibri"/>
          <w:b/>
          <w:color w:val="1E293B"/>
          <w:sz w:val="20"/>
        </w:rPr>
        <w:t xml:space="preserve">Correlated Post-Hartree-Fock Methods: </w:t>
      </w:r>
      <w:r>
        <w:rPr>
          <w:rFonts w:ascii="Calibri" w:hAnsi="Calibri"/>
          <w:color w:val="1E293B"/>
          <w:sz w:val="20"/>
        </w:rPr>
        <w:t xml:space="preserve"> Canonical MP2, RI-MP2, DLPNO-MP2, CCSD, CCSD(T), and DLPNO-CCSD(T). Enables gold-standard wavefunction benchmark calculations.</w:t>
      </w:r>
    </w:p>
    <w:p>
      <w:pPr>
        <w:keepNext/>
        <w:spacing w:before="280" w:after="80"/>
      </w:pPr>
      <w:r>
        <w:rPr>
          <w:rFonts w:ascii="Calibri" w:hAnsi="Calibri"/>
          <w:b/>
          <w:color w:val="0F766E"/>
          <w:sz w:val="25"/>
        </w:rPr>
        <w:t>3.2 Systematic Basis Set Selection</w:t>
      </w:r>
    </w:p>
    <w:p>
      <w:pPr>
        <w:pStyle w:val="ListBullet"/>
        <w:spacing w:after="60" w:line="276" w:lineRule="auto"/>
      </w:pPr>
      <w:r>
        <w:rPr>
          <w:rFonts w:ascii="Calibri" w:hAnsi="Calibri"/>
          <w:color w:val="1E293B"/>
          <w:sz w:val="20"/>
        </w:rPr>
        <w:t>Karlsruhe segmented def2 family: def2-SVP, def2-SVPD, def2-TZVP, def2-TZVPD, def2-TZVPP, def2-QZVPP, ma-def2-SVP, ma-def2-TZVP.</w:t>
      </w:r>
    </w:p>
    <w:p>
      <w:pPr>
        <w:pStyle w:val="ListBullet"/>
        <w:spacing w:after="60" w:line="276" w:lineRule="auto"/>
      </w:pPr>
      <w:r>
        <w:rPr>
          <w:rFonts w:ascii="Calibri" w:hAnsi="Calibri"/>
          <w:color w:val="1E293B"/>
          <w:sz w:val="20"/>
        </w:rPr>
        <w:t>Jensen Polarization-Consistent family: pcseg-1, pcseg-2, pcseg-3, aug-pcseg-1, aug-pcseg-2 (optimized for DFT energy convergence).</w:t>
      </w:r>
    </w:p>
    <w:p>
      <w:pPr>
        <w:pStyle w:val="ListBullet"/>
        <w:spacing w:after="60" w:line="276" w:lineRule="auto"/>
      </w:pPr>
      <w:r>
        <w:rPr>
          <w:rFonts w:ascii="Calibri" w:hAnsi="Calibri"/>
          <w:color w:val="1E293B"/>
          <w:sz w:val="20"/>
        </w:rPr>
        <w:t>Dunning Correlation-Consistent family: cc-pVDZ, aug-cc-pVDZ, cc-pVTZ, aug-cc-pVTZ, cc-pVQZ (for correlated wavefunction extrapolation).</w:t>
      </w:r>
    </w:p>
    <w:p>
      <w:pPr>
        <w:pStyle w:val="ListBullet"/>
        <w:spacing w:after="60" w:line="276" w:lineRule="auto"/>
      </w:pPr>
      <w:r>
        <w:rPr>
          <w:rFonts w:ascii="Calibri" w:hAnsi="Calibri"/>
          <w:color w:val="1E293B"/>
          <w:sz w:val="20"/>
        </w:rPr>
        <w:t>Pople 6-31G family: 6-31G(d), 6-31+G(d,p), 6-311G(d,p), 6-311++G(2df,2pd).</w:t>
      </w:r>
    </w:p>
    <w:p>
      <w:pPr>
        <w:pStyle w:val="ListBullet"/>
        <w:spacing w:after="60" w:line="276" w:lineRule="auto"/>
      </w:pPr>
      <w:r>
        <w:rPr>
          <w:rFonts w:ascii="Calibri" w:hAnsi="Calibri"/>
          <w:color w:val="1E293B"/>
          <w:sz w:val="20"/>
        </w:rPr>
        <w:t>Relativistic Recontracted Sets: x2c-SVPall, x2c-TZVPall, x2c-TZVPPall, SARC-ZORA-TZVP for heavy transition metals and actinides.</w:t>
      </w:r>
    </w:p>
    <w:p>
      <w:pPr>
        <w:pStyle w:val="ListBullet"/>
        <w:spacing w:after="60" w:line="276" w:lineRule="auto"/>
      </w:pPr>
      <w:r>
        <w:rPr>
          <w:rFonts w:ascii="Calibri" w:hAnsi="Calibri"/>
          <w:color w:val="1E293B"/>
          <w:sz w:val="20"/>
        </w:rPr>
        <w:t>Magnetic &amp; Property Sets: IGLO-III, pcJ-2, EPR-II, EPR-III for NMR chemical shielding tensors and EPR hyperfine couplings.</w:t>
      </w:r>
    </w:p>
    <w:p>
      <w:pPr>
        <w:keepNext/>
        <w:spacing w:before="280" w:after="80"/>
      </w:pPr>
      <w:r>
        <w:rPr>
          <w:rFonts w:ascii="Calibri" w:hAnsi="Calibri"/>
          <w:b/>
          <w:color w:val="0F766E"/>
          <w:sz w:val="25"/>
        </w:rPr>
        <w:t>3.3 Relativistic Hamiltonians &amp; Solvation Models</w:t>
      </w:r>
    </w:p>
    <w:p>
      <w:pPr>
        <w:pStyle w:val="ListBullet"/>
        <w:spacing w:after="60" w:line="276" w:lineRule="auto"/>
      </w:pPr>
      <w:r>
        <w:rPr>
          <w:rFonts w:ascii="Calibri" w:hAnsi="Calibri"/>
          <w:color w:val="1E293B"/>
          <w:sz w:val="20"/>
        </w:rPr>
        <w:t>Scalar Relativistic Hamiltonians: Exact Two-Component (X2C), Zeroth-Order Regular Approximation (ZORA), and Douglas-Kroll-Hess (DKH).</w:t>
      </w:r>
    </w:p>
    <w:p>
      <w:pPr>
        <w:pStyle w:val="ListBullet"/>
        <w:spacing w:after="60" w:line="276" w:lineRule="auto"/>
      </w:pPr>
      <w:r>
        <w:rPr>
          <w:rFonts w:ascii="Calibri" w:hAnsi="Calibri"/>
          <w:color w:val="1E293B"/>
          <w:sz w:val="20"/>
        </w:rPr>
        <w:t>Implicit Solvation Models: Conductor-like Polarizable Continuum Model (CPCM) and Solvation Model based on Density (SMD).</w:t>
      </w:r>
    </w:p>
    <w:p>
      <w:pPr>
        <w:pStyle w:val="ListBullet"/>
        <w:spacing w:after="60" w:line="276" w:lineRule="auto"/>
      </w:pPr>
      <w:r>
        <w:rPr>
          <w:rFonts w:ascii="Calibri" w:hAnsi="Calibri"/>
          <w:color w:val="1E293B"/>
          <w:sz w:val="20"/>
        </w:rPr>
        <w:t>19 Parameter-Verified Solvents: Water, Acetonitrile, Methanol, Ethanol, Acetone, DCM, Chloroform, THF, DMSO, DMF, Toluene, Benzene, Hexane, Cyclohexane, DiethylEther, 1,4-Dioxane, CarbonTetrachloride, EthylAcetate, Pyridine.</w:t>
      </w:r>
    </w:p>
    <w:p>
      <w:pPr>
        <w:keepNext/>
        <w:spacing w:before="280" w:after="80"/>
      </w:pPr>
      <w:r>
        <w:rPr>
          <w:rFonts w:ascii="Calibri" w:hAnsi="Calibri"/>
          <w:b/>
          <w:color w:val="0F766E"/>
          <w:sz w:val="25"/>
        </w:rPr>
        <w:t>3.4 Hardware Resource Management &amp; Safety Budgeting</w:t>
      </w:r>
    </w:p>
    <w:p>
      <w:pPr>
        <w:pStyle w:val="ListBullet"/>
        <w:spacing w:after="60" w:line="276" w:lineRule="auto"/>
      </w:pPr>
      <w:r>
        <w:rPr>
          <w:rFonts w:ascii="Calibri" w:hAnsi="Calibri"/>
          <w:color w:val="1E293B"/>
          <w:sz w:val="20"/>
        </w:rPr>
        <w:t>Parallel Core Scaling: Configurable `%pal nprocs N end` for multi-threaded execution.</w:t>
      </w:r>
    </w:p>
    <w:p>
      <w:pPr>
        <w:pStyle w:val="ListBullet"/>
        <w:spacing w:after="60" w:line="276" w:lineRule="auto"/>
      </w:pPr>
      <w:r>
        <w:rPr>
          <w:rFonts w:ascii="Calibri" w:hAnsi="Calibri"/>
          <w:color w:val="1E293B"/>
          <w:sz w:val="20"/>
        </w:rPr>
        <w:t>MaxCore RAM Clamping: `%maxcore M` dynamically clamped to Kaggle's safe memory threshold (6000 MB per core) to prevent kernel out-of-memory crashes.</w:t>
      </w:r>
    </w:p>
    <w:p>
      <w:pPr>
        <w:pStyle w:val="ListBullet"/>
        <w:spacing w:after="60" w:line="276" w:lineRule="auto"/>
      </w:pPr>
      <w:r>
        <w:rPr>
          <w:rFonts w:ascii="Calibri" w:hAnsi="Calibri"/>
          <w:color w:val="1E293B"/>
          <w:sz w:val="20"/>
        </w:rPr>
        <w:t>Scratch Disk Safety: `%maxdisk` safety guardrails preventing disk saturation.</w:t>
      </w:r>
    </w:p>
    <w:p>
      <w:pPr>
        <w:keepNext/>
        <w:spacing w:before="360" w:after="120"/>
      </w:pPr>
      <w:r>
        <w:rPr>
          <w:rFonts w:ascii="Calibri" w:hAnsi="Calibri"/>
          <w:b/>
          <w:color w:val="0B2C52"/>
          <w:sz w:val="31"/>
        </w:rPr>
        <w:t>4. Studio 2: Multi-Stage Chained Workflows &amp; Cloud Orchestration</w:t>
      </w:r>
    </w:p>
    <w:p>
      <w:pPr>
        <w:spacing w:after="100" w:line="276" w:lineRule="auto"/>
      </w:pPr>
      <w:r>
        <w:rPr>
          <w:rFonts w:ascii="Calibri" w:hAnsi="Calibri"/>
          <w:color w:val="1E293B"/>
          <w:sz w:val="20"/>
        </w:rPr>
        <w:t>A flagship capability of ORCA Web Lab is the automated execution of chained multi-step computational workflows across remote Kaggle GPU/CPU instances with full fault tolerance and lossless coordinate inheritance.</w:t>
      </w:r>
    </w:p>
    <w:p>
      <w:pPr>
        <w:keepNext/>
        <w:spacing w:before="280" w:after="80"/>
      </w:pPr>
      <w:r>
        <w:rPr>
          <w:rFonts w:ascii="Calibri" w:hAnsi="Calibri"/>
          <w:b/>
          <w:color w:val="0F766E"/>
          <w:sz w:val="25"/>
        </w:rPr>
        <w:t>4.1 Multi-Stage Workflow Automation Pipeline</w:t>
      </w:r>
    </w:p>
    <w:p>
      <w:pPr>
        <w:spacing w:after="100" w:line="276" w:lineRule="auto"/>
      </w:pPr>
      <w:r>
        <w:rPr>
          <w:rFonts w:ascii="Calibri" w:hAnsi="Calibri"/>
          <w:b/>
          <w:color w:val="1E293B"/>
          <w:sz w:val="20"/>
        </w:rPr>
        <w:t xml:space="preserve">Standard 4-Stage Protocol: </w:t>
      </w:r>
      <w:r>
        <w:rPr>
          <w:rFonts w:ascii="Calibri" w:hAnsi="Calibri"/>
          <w:color w:val="1E293B"/>
          <w:sz w:val="20"/>
        </w:rPr>
        <w:t>Typical high-level quantum chemistry protocols require multi-tier calculation sequences. For example:</w:t>
      </w:r>
    </w:p>
    <w:p>
      <w:pPr>
        <w:pStyle w:val="ListBullet"/>
        <w:spacing w:after="60" w:line="276" w:lineRule="auto"/>
      </w:pPr>
      <w:r>
        <w:rPr>
          <w:rFonts w:ascii="Calibri" w:hAnsi="Calibri"/>
          <w:color w:val="1E293B"/>
          <w:sz w:val="20"/>
        </w:rPr>
        <w:t xml:space="preserve"> Stage 1: Low-level rapid structural pre-optimization (e.g., ! B97-3c Opt).</w:t>
      </w:r>
    </w:p>
    <w:p>
      <w:pPr>
        <w:pStyle w:val="ListBullet"/>
        <w:spacing w:after="60" w:line="276" w:lineRule="auto"/>
      </w:pPr>
      <w:r>
        <w:rPr>
          <w:rFonts w:ascii="Calibri" w:hAnsi="Calibri"/>
          <w:color w:val="1E293B"/>
          <w:sz w:val="20"/>
        </w:rPr>
        <w:t xml:space="preserve"> Stage 2: High-level DFT geometry optimization (e.g., ! wB97X-D4 def2-TZVP Opt).</w:t>
      </w:r>
    </w:p>
    <w:p>
      <w:pPr>
        <w:pStyle w:val="ListBullet"/>
        <w:spacing w:after="60" w:line="276" w:lineRule="auto"/>
      </w:pPr>
      <w:r>
        <w:rPr>
          <w:rFonts w:ascii="Calibri" w:hAnsi="Calibri"/>
          <w:color w:val="1E293B"/>
          <w:sz w:val="20"/>
        </w:rPr>
        <w:t xml:space="preserve"> Stage 3: Harmonic vibrational frequency analysis &amp; thermochemistry (e.g., ! wB97X-D4 def2-TZVP Freq).</w:t>
      </w:r>
    </w:p>
    <w:p>
      <w:pPr>
        <w:pStyle w:val="ListBullet"/>
        <w:spacing w:after="60" w:line="276" w:lineRule="auto"/>
      </w:pPr>
      <w:r>
        <w:rPr>
          <w:rFonts w:ascii="Calibri" w:hAnsi="Calibri"/>
          <w:color w:val="1E293B"/>
          <w:sz w:val="20"/>
        </w:rPr>
        <w:t xml:space="preserve"> Stage 4: High-accuracy single-point electronic energy (e.g., ! DLPNO-CCSD(T) def2-QZVPP SP).</w:t>
      </w:r>
    </w:p>
    <w:p>
      <w:pPr>
        <w:keepNext/>
        <w:spacing w:before="280" w:after="80"/>
      </w:pPr>
      <w:r>
        <w:rPr>
          <w:rFonts w:ascii="Calibri" w:hAnsi="Calibri"/>
          <w:b/>
          <w:color w:val="0F766E"/>
          <w:sz w:val="25"/>
        </w:rPr>
        <w:t>4.2 The Latest-OPT Stage Coordinate Inheritance Algorithm</w:t>
      </w:r>
    </w:p>
    <w:p>
      <w:pPr>
        <w:spacing w:after="100" w:line="276" w:lineRule="auto"/>
      </w:pPr>
      <w:r>
        <w:rPr>
          <w:rFonts w:ascii="Calibri" w:hAnsi="Calibri"/>
          <w:color w:val="1E293B"/>
          <w:sz w:val="20"/>
        </w:rPr>
        <w:t>In traditional workflow managers, Stage N blindly requests coordinates from Stage N-1. However, in scientific protocols, Stage 3 (Freq) or Stage 4 (SP) does not perform geometry optimization and does not yield a new `.opt.xyz` coordinate file. If Stage 4 attempts to extract coordinates from Stage 3 (Freq), the job chain would fail.</w:t>
      </w:r>
    </w:p>
    <w:p>
      <w:pPr>
        <w:spacing w:after="100" w:line="276" w:lineRule="auto"/>
      </w:pPr>
      <w:r>
        <w:rPr>
          <w:rFonts w:ascii="Calibri" w:hAnsi="Calibri"/>
          <w:b/>
          <w:color w:val="1E293B"/>
          <w:sz w:val="20"/>
        </w:rPr>
        <w:t xml:space="preserve">Algorithmic Solution: </w:t>
      </w:r>
      <w:r>
        <w:rPr>
          <w:rFonts w:ascii="Calibri" w:hAnsi="Calibri"/>
          <w:color w:val="1E293B"/>
          <w:sz w:val="20"/>
        </w:rPr>
        <w:t>ORCA Web Lab implements the Latest-OPT Stage Inheritance Algorithm (getWorkflowOptimizedCoords):</w:t>
      </w:r>
    </w:p>
    <w:p>
      <w:pPr>
        <w:pStyle w:val="ListBullet"/>
        <w:spacing w:after="60" w:line="276" w:lineRule="auto"/>
      </w:pPr>
      <w:r>
        <w:rPr>
          <w:rFonts w:ascii="Calibri" w:hAnsi="Calibri"/>
          <w:color w:val="1E293B"/>
          <w:sz w:val="20"/>
        </w:rPr>
        <w:t>When Stage N is promoted from the waiting dependency queue, the system inspects all predecessor stages (Stage N-1 down to Stage 1).</w:t>
      </w:r>
    </w:p>
    <w:p>
      <w:pPr>
        <w:pStyle w:val="ListBullet"/>
        <w:spacing w:after="60" w:line="276" w:lineRule="auto"/>
      </w:pPr>
      <w:r>
        <w:rPr>
          <w:rFonts w:ascii="Calibri" w:hAnsi="Calibri"/>
          <w:color w:val="1E293B"/>
          <w:sz w:val="20"/>
        </w:rPr>
        <w:t>It identifies the most recent predecessor stage that performed geometry optimization (Opt, OptTS) or has cached optimized coordinates.</w:t>
      </w:r>
    </w:p>
    <w:p>
      <w:pPr>
        <w:pStyle w:val="ListBullet"/>
        <w:spacing w:after="60" w:line="276" w:lineRule="auto"/>
      </w:pPr>
      <w:r>
        <w:rPr>
          <w:rFonts w:ascii="Calibri" w:hAnsi="Calibri"/>
          <w:color w:val="1E293B"/>
          <w:sz w:val="20"/>
        </w:rPr>
        <w:t>It extracts the optimized Cartesian coordinates from that Opt stage and injects them directly into Stage N's input file.</w:t>
      </w:r>
    </w:p>
    <w:p>
      <w:pPr>
        <w:pStyle w:val="ListBullet"/>
        <w:spacing w:after="60" w:line="276" w:lineRule="auto"/>
      </w:pPr>
      <w:r>
        <w:rPr>
          <w:rFonts w:ascii="Calibri" w:hAnsi="Calibri"/>
          <w:color w:val="1E293B"/>
          <w:sz w:val="20"/>
        </w:rPr>
        <w:t>The extracted coordinates are cached in local browser state, allowing instant re-use across all subsequent stages without network overhead.</w:t>
      </w:r>
    </w:p>
    <w:p>
      <w:pPr>
        <w:keepNext/>
        <w:spacing w:before="280" w:after="80"/>
      </w:pPr>
      <w:r>
        <w:rPr>
          <w:rFonts w:ascii="Calibri" w:hAnsi="Calibri"/>
          <w:b/>
          <w:color w:val="0F766E"/>
          <w:sz w:val="25"/>
        </w:rPr>
        <w:t>4.3 Lossless Full Decimal Precision Preservation (10+ Decimals)</w:t>
      </w:r>
    </w:p>
    <w:p>
      <w:pPr>
        <w:spacing w:after="100" w:line="276" w:lineRule="auto"/>
      </w:pPr>
      <w:r>
        <w:rPr>
          <w:rFonts w:ascii="Calibri" w:hAnsi="Calibri"/>
          <w:color w:val="1E293B"/>
          <w:sz w:val="20"/>
        </w:rPr>
        <w:t>Standard web tools round coordinates to 6 decimal places (`12.6f`), causing artificial structural strain and gradient spikes in subsequent high-level coupled-cluster or tight SCF runs. ORCA Web Lab eliminates all coordinate truncation: Cartesian tokens are extracted verbatim from ORCA logs and `.xyz` files with 10 to 14 decimal places (e.g., `0.117289123456 Å`), preserving complete quantum geometric fidelity across the entire chain.</w:t>
      </w:r>
    </w:p>
    <w:p>
      <w:pPr>
        <w:keepNext/>
        <w:spacing w:before="280" w:after="80"/>
      </w:pPr>
      <w:r>
        <w:rPr>
          <w:rFonts w:ascii="Calibri" w:hAnsi="Calibri"/>
          <w:b/>
          <w:color w:val="0F766E"/>
          <w:sz w:val="25"/>
        </w:rPr>
        <w:t>4.4 Kaggle Cloud HPC Execution, Queue Governor &amp; Auto-Recovery</w:t>
      </w:r>
    </w:p>
    <w:p>
      <w:pPr>
        <w:pStyle w:val="ListBullet"/>
        <w:spacing w:after="60" w:line="276" w:lineRule="auto"/>
      </w:pPr>
      <w:r>
        <w:rPr>
          <w:rFonts w:ascii="Calibri" w:hAnsi="Calibri"/>
          <w:color w:val="1E293B"/>
          <w:sz w:val="20"/>
        </w:rPr>
        <w:t>Queue Governor: Limits concurrent active Kaggle jobs to 5 slots, automatically dispatching queued stages as active jobs finish.</w:t>
      </w:r>
    </w:p>
    <w:p>
      <w:pPr>
        <w:pStyle w:val="ListBullet"/>
        <w:spacing w:after="60" w:line="276" w:lineRule="auto"/>
      </w:pPr>
      <w:r>
        <w:rPr>
          <w:rFonts w:ascii="Calibri" w:hAnsi="Calibri"/>
          <w:color w:val="1E293B"/>
          <w:sz w:val="20"/>
        </w:rPr>
        <w:t>Watchdog Auto-Recovery: Automatically handles long-running jobs approaching Kaggle's 12-hour session limit, re-launching from the latest converged `.opt.xyz` geometry.</w:t>
      </w:r>
    </w:p>
    <w:p>
      <w:pPr>
        <w:pStyle w:val="ListBullet"/>
        <w:spacing w:after="60" w:line="276" w:lineRule="auto"/>
      </w:pPr>
      <w:r>
        <w:rPr>
          <w:rFonts w:ascii="Calibri" w:hAnsi="Calibri"/>
          <w:color w:val="1E293B"/>
          <w:sz w:val="20"/>
        </w:rPr>
        <w:t>Fast Essential Mode vs. Full Mode: Allows researchers on slow or metered internet connections to download essential outputs (.out, .xyz, .property.txt, .inp &lt; 1 MB) instantly, while filtering out multi-gigabyte `.gbw` wavefunctions.</w:t>
      </w:r>
    </w:p>
    <w:p>
      <w:pPr>
        <w:pStyle w:val="ListBullet"/>
        <w:spacing w:after="60" w:line="276" w:lineRule="auto"/>
      </w:pPr>
      <w:r>
        <w:rPr>
          <w:rFonts w:ascii="Calibri" w:hAnsi="Calibri"/>
          <w:color w:val="1E293B"/>
          <w:sz w:val="20"/>
        </w:rPr>
        <w:t>Native File System Access: Direct browser file streaming bypassing third-party download interceptors (IDM).</w:t>
      </w:r>
    </w:p>
    <w:p>
      <w:pPr>
        <w:keepNext/>
        <w:spacing w:before="360" w:after="120"/>
      </w:pPr>
      <w:r>
        <w:rPr>
          <w:rFonts w:ascii="Calibri" w:hAnsi="Calibri"/>
          <w:b/>
          <w:color w:val="0B2C52"/>
          <w:sz w:val="31"/>
        </w:rPr>
        <w:t>5. Studio 3: Quantum Engine, Spectroscopy &amp; Thermochemical Audit</w:t>
      </w:r>
    </w:p>
    <w:p>
      <w:pPr>
        <w:spacing w:after="100" w:line="276" w:lineRule="auto"/>
      </w:pPr>
      <w:r>
        <w:rPr>
          <w:rFonts w:ascii="Calibri" w:hAnsi="Calibri"/>
          <w:color w:val="1E293B"/>
          <w:sz w:val="20"/>
        </w:rPr>
        <w:t>Studio 3 delivers a state-of-the-art post-processing environment for analyzing ORCA output files (.out, .log, and .zip archives). It provides real-time streaming log parsing, 3D visualization, spectral convolution, and multi-component reaction thermodynamics.</w:t>
      </w:r>
    </w:p>
    <w:p>
      <w:pPr>
        <w:keepNext/>
        <w:spacing w:before="280" w:after="80"/>
      </w:pPr>
      <w:r>
        <w:rPr>
          <w:rFonts w:ascii="Calibri" w:hAnsi="Calibri"/>
          <w:b/>
          <w:color w:val="0F766E"/>
          <w:sz w:val="25"/>
        </w:rPr>
        <w:t>5.1 3D Molecular Geometry &amp; Orbital Visualizer</w:t>
      </w:r>
    </w:p>
    <w:p>
      <w:pPr>
        <w:pStyle w:val="ListBullet"/>
        <w:spacing w:after="60" w:line="276" w:lineRule="auto"/>
      </w:pPr>
      <w:r>
        <w:rPr>
          <w:rFonts w:ascii="Calibri" w:hAnsi="Calibri"/>
          <w:color w:val="1E293B"/>
          <w:sz w:val="20"/>
        </w:rPr>
        <w:t>High-performance WebGL 3D molecular canvas (3Dmol.js) with Ball-and-Stick, Wireframe, and Space-Filling (VDW) modes.</w:t>
      </w:r>
    </w:p>
    <w:p>
      <w:pPr>
        <w:pStyle w:val="ListBullet"/>
        <w:spacing w:after="60" w:line="276" w:lineRule="auto"/>
      </w:pPr>
      <w:r>
        <w:rPr>
          <w:rFonts w:ascii="Calibri" w:hAnsi="Calibri"/>
          <w:color w:val="1E293B"/>
          <w:sz w:val="20"/>
        </w:rPr>
        <w:t>Atomic Partial Charges: Instant extraction and color mapping of Mulliken, Löwdin, and CHELPG charges.</w:t>
      </w:r>
    </w:p>
    <w:p>
      <w:pPr>
        <w:pStyle w:val="ListBullet"/>
        <w:spacing w:after="60" w:line="276" w:lineRule="auto"/>
      </w:pPr>
      <w:r>
        <w:rPr>
          <w:rFonts w:ascii="Calibri" w:hAnsi="Calibri"/>
          <w:color w:val="1E293B"/>
          <w:sz w:val="20"/>
        </w:rPr>
        <w:t>MultiWfn .crg Integration: Direct upload of Hirshfeld and ADCH charge files (.crg) produced by Multiwfn to render electrostatic potential (ESP) surfaces.</w:t>
      </w:r>
    </w:p>
    <w:p>
      <w:pPr>
        <w:keepNext/>
        <w:spacing w:before="280" w:after="80"/>
      </w:pPr>
      <w:r>
        <w:rPr>
          <w:rFonts w:ascii="Calibri" w:hAnsi="Calibri"/>
          <w:b/>
          <w:color w:val="0F766E"/>
          <w:sz w:val="25"/>
        </w:rPr>
        <w:t>5.2 Frontier Molecular Orbitals &amp; Conceptual DFT (CDFT)</w:t>
      </w:r>
    </w:p>
    <w:p>
      <w:pPr>
        <w:spacing w:after="100" w:line="276" w:lineRule="auto"/>
      </w:pPr>
      <w:r>
        <w:rPr>
          <w:rFonts w:ascii="Calibri" w:hAnsi="Calibri"/>
          <w:color w:val="1E293B"/>
          <w:sz w:val="20"/>
        </w:rPr>
        <w:t>Extracts spatial energy eigenvalues for Highest Occupied (HOMO) and Lowest Unoccupied (LUMO) molecular orbitals, and computes global reactivity descriptors grounded in conceptual density functional theory:</w:t>
      </w:r>
    </w:p>
    <w:p>
      <w:pPr>
        <w:pStyle w:val="ListBullet"/>
        <w:spacing w:after="60" w:line="276" w:lineRule="auto"/>
      </w:pPr>
      <w:r>
        <w:rPr>
          <w:rFonts w:ascii="Calibri" w:hAnsi="Calibri"/>
          <w:b/>
          <w:color w:val="1E293B"/>
          <w:sz w:val="20"/>
        </w:rPr>
        <w:t xml:space="preserve">HOMO-LUMO Bandgap: </w:t>
      </w:r>
      <w:r>
        <w:rPr>
          <w:rFonts w:ascii="Calibri" w:hAnsi="Calibri"/>
          <w:color w:val="1E293B"/>
          <w:sz w:val="20"/>
        </w:rPr>
        <w:t xml:space="preserve"> Energy difference ΔEgap = |ELUMO - EHOMO| in eV and kcal/mol.</w:t>
      </w:r>
    </w:p>
    <w:p>
      <w:pPr>
        <w:pStyle w:val="ListBullet"/>
        <w:spacing w:after="60" w:line="276" w:lineRule="auto"/>
      </w:pPr>
      <w:r>
        <w:rPr>
          <w:rFonts w:ascii="Calibri" w:hAnsi="Calibri"/>
          <w:b/>
          <w:color w:val="1E293B"/>
          <w:sz w:val="20"/>
        </w:rPr>
        <w:t xml:space="preserve">IP &amp; EA: </w:t>
      </w:r>
      <w:r>
        <w:rPr>
          <w:rFonts w:ascii="Calibri" w:hAnsi="Calibri"/>
          <w:color w:val="1E293B"/>
          <w:sz w:val="20"/>
        </w:rPr>
        <w:t xml:space="preserve"> Approximate Ionization Potential IP ≈ -EHOMO and Electron Affinity EA ≈ -ELUMO (Koopmans/Janak theorem).</w:t>
      </w:r>
    </w:p>
    <w:p>
      <w:pPr>
        <w:pStyle w:val="ListBullet"/>
        <w:spacing w:after="60" w:line="276" w:lineRule="auto"/>
      </w:pPr>
      <w:r>
        <w:rPr>
          <w:rFonts w:ascii="Calibri" w:hAnsi="Calibri"/>
          <w:b/>
          <w:color w:val="1E293B"/>
          <w:sz w:val="20"/>
        </w:rPr>
        <w:t xml:space="preserve">Chemical Hardness (η) &amp; Softness (S): </w:t>
      </w:r>
      <w:r>
        <w:rPr>
          <w:rFonts w:ascii="Calibri" w:hAnsi="Calibri"/>
          <w:color w:val="1E293B"/>
          <w:sz w:val="20"/>
        </w:rPr>
        <w:t xml:space="preserve"> Global Hardness η = (IP - EA)/2 and Global Softness S = 1/(2η).</w:t>
      </w:r>
    </w:p>
    <w:p>
      <w:pPr>
        <w:pStyle w:val="ListBullet"/>
        <w:spacing w:after="60" w:line="276" w:lineRule="auto"/>
      </w:pPr>
      <w:r>
        <w:rPr>
          <w:rFonts w:ascii="Calibri" w:hAnsi="Calibri"/>
          <w:b/>
          <w:color w:val="1E293B"/>
          <w:sz w:val="20"/>
        </w:rPr>
        <w:t xml:space="preserve">Chemical Potential (μ) &amp; Electronegativity (χ): </w:t>
      </w:r>
      <w:r>
        <w:rPr>
          <w:rFonts w:ascii="Calibri" w:hAnsi="Calibri"/>
          <w:color w:val="1E293B"/>
          <w:sz w:val="20"/>
        </w:rPr>
        <w:t xml:space="preserve"> Electronic Chemical Potential μ = -(IP + EA)/2 and Electronegativity χ = -μ.</w:t>
      </w:r>
    </w:p>
    <w:p>
      <w:pPr>
        <w:pStyle w:val="ListBullet"/>
        <w:spacing w:after="60" w:line="276" w:lineRule="auto"/>
      </w:pPr>
      <w:r>
        <w:rPr>
          <w:rFonts w:ascii="Calibri" w:hAnsi="Calibri"/>
          <w:b/>
          <w:color w:val="1E293B"/>
          <w:sz w:val="20"/>
        </w:rPr>
        <w:t xml:space="preserve">Electrophilicity Index (ω): </w:t>
      </w:r>
      <w:r>
        <w:rPr>
          <w:rFonts w:ascii="Calibri" w:hAnsi="Calibri"/>
          <w:color w:val="1E293B"/>
          <w:sz w:val="20"/>
        </w:rPr>
        <w:t xml:space="preserve"> Electrophilicity Index ω = μ² / (2η), measuring electrophilic stabilization capacity.</w:t>
      </w:r>
    </w:p>
    <w:p>
      <w:pPr>
        <w:pStyle w:val="ListBullet"/>
        <w:spacing w:after="60" w:line="276" w:lineRule="auto"/>
      </w:pPr>
      <w:r>
        <w:rPr>
          <w:rFonts w:ascii="Calibri" w:hAnsi="Calibri"/>
          <w:b/>
          <w:color w:val="1E293B"/>
          <w:sz w:val="20"/>
        </w:rPr>
        <w:t xml:space="preserve">Nucleophilicity Index (N): </w:t>
      </w:r>
      <w:r>
        <w:rPr>
          <w:rFonts w:ascii="Calibri" w:hAnsi="Calibri"/>
          <w:color w:val="1E293B"/>
          <w:sz w:val="20"/>
        </w:rPr>
        <w:t xml:space="preserve"> Nucleophilicity Index N = EHOMO(Nu) - EHOMO(TCE), referenced against tetracyanoethylene.</w:t>
      </w:r>
    </w:p>
    <w:p>
      <w:pPr>
        <w:keepNext/>
        <w:spacing w:before="280" w:after="80"/>
      </w:pPr>
      <w:r>
        <w:rPr>
          <w:rFonts w:ascii="Calibri" w:hAnsi="Calibri"/>
          <w:b/>
          <w:color w:val="0F766E"/>
          <w:sz w:val="25"/>
        </w:rPr>
        <w:t>5.3 UV-Vis Electronic Absorption Spectroscopy Studio</w:t>
      </w:r>
    </w:p>
    <w:p>
      <w:pPr>
        <w:pStyle w:val="ListBullet"/>
        <w:spacing w:after="60" w:line="276" w:lineRule="auto"/>
      </w:pPr>
      <w:r>
        <w:rPr>
          <w:rFonts w:ascii="Calibri" w:hAnsi="Calibri"/>
          <w:color w:val="1E293B"/>
          <w:sz w:val="20"/>
        </w:rPr>
        <w:t>Theoretical TD-DFT convolution using Gaussian peak broadening with adjustable FWHM (σ, 5 to 50 nm).</w:t>
      </w:r>
    </w:p>
    <w:p>
      <w:pPr>
        <w:pStyle w:val="ListBullet"/>
        <w:spacing w:after="60" w:line="276" w:lineRule="auto"/>
      </w:pPr>
      <w:r>
        <w:rPr>
          <w:rFonts w:ascii="Calibri" w:hAnsi="Calibri"/>
          <w:color w:val="1E293B"/>
          <w:sz w:val="20"/>
        </w:rPr>
        <w:t>Solvent Wavelength Calibration Shift (Δλ, -100 to +100 nm) to correct for empirical dielectric and solvent bath shifts.</w:t>
      </w:r>
    </w:p>
    <w:p>
      <w:pPr>
        <w:pStyle w:val="ListBullet"/>
        <w:spacing w:after="60" w:line="276" w:lineRule="auto"/>
      </w:pPr>
      <w:r>
        <w:rPr>
          <w:rFonts w:ascii="Calibri" w:hAnsi="Calibri"/>
          <w:color w:val="1E293B"/>
          <w:sz w:val="20"/>
        </w:rPr>
        <w:t>Interactive display showing vertical excitation sticks (oscillator strengths fosc) and molar absorption coefficient (ε in L·mol⁻¹·cm⁻¹).</w:t>
      </w:r>
    </w:p>
    <w:p>
      <w:pPr>
        <w:pStyle w:val="ListBullet"/>
        <w:spacing w:after="60" w:line="276" w:lineRule="auto"/>
      </w:pPr>
      <w:r>
        <w:rPr>
          <w:rFonts w:ascii="Calibri" w:hAnsi="Calibri"/>
          <w:color w:val="1E293B"/>
          <w:sz w:val="20"/>
        </w:rPr>
        <w:t>Multi-trace experimental overlay (.xlsx, .csv, .txt) with strict mathematical immutability: experimental traces are never altered by theoretical shift parameters.</w:t>
      </w:r>
    </w:p>
    <w:p>
      <w:pPr>
        <w:pStyle w:val="ListBullet"/>
        <w:spacing w:after="60" w:line="276" w:lineRule="auto"/>
      </w:pPr>
      <w:r>
        <w:rPr>
          <w:rFonts w:ascii="Calibri" w:hAnsi="Calibri"/>
          <w:color w:val="1E293B"/>
          <w:sz w:val="20"/>
        </w:rPr>
        <w:t>High-resolution PNG and CSV tabular export.</w:t>
      </w:r>
    </w:p>
    <w:p>
      <w:pPr>
        <w:keepNext/>
        <w:spacing w:before="280" w:after="80"/>
      </w:pPr>
      <w:r>
        <w:rPr>
          <w:rFonts w:ascii="Calibri" w:hAnsi="Calibri"/>
          <w:b/>
          <w:color w:val="0F766E"/>
          <w:sz w:val="25"/>
        </w:rPr>
        <w:t>5.4 Vibrational FTIR Spectroscopic Studio</w:t>
      </w:r>
    </w:p>
    <w:p>
      <w:pPr>
        <w:pStyle w:val="ListBullet"/>
        <w:spacing w:after="60" w:line="276" w:lineRule="auto"/>
      </w:pPr>
      <w:r>
        <w:rPr>
          <w:rFonts w:ascii="Calibri" w:hAnsi="Calibri"/>
          <w:color w:val="1E293B"/>
          <w:sz w:val="20"/>
        </w:rPr>
        <w:t>Harmonic vibrational frequency convolution using physical Lorentzian line shapes (FWHM γ) from normal mode transition dipole moments (T² in km/mol).</w:t>
      </w:r>
    </w:p>
    <w:p>
      <w:pPr>
        <w:pStyle w:val="ListBullet"/>
        <w:spacing w:after="60" w:line="276" w:lineRule="auto"/>
      </w:pPr>
      <w:r>
        <w:rPr>
          <w:rFonts w:ascii="Calibri" w:hAnsi="Calibri"/>
          <w:color w:val="1E293B"/>
          <w:sz w:val="20"/>
        </w:rPr>
        <w:t>Standard spectroscopic axis: Wavenumber descending from 4000 cm⁻¹ (left) to 400 cm⁻¹ (right).</w:t>
      </w:r>
    </w:p>
    <w:p>
      <w:pPr>
        <w:pStyle w:val="ListBullet"/>
        <w:spacing w:after="60" w:line="276" w:lineRule="auto"/>
      </w:pPr>
      <w:r>
        <w:rPr>
          <w:rFonts w:ascii="Calibri" w:hAnsi="Calibri"/>
          <w:color w:val="1E293B"/>
          <w:sz w:val="20"/>
        </w:rPr>
        <w:t>Dual Photometric Mode: Instant toggle between Transmittance (%T, downward bands) and Absorbance (AU, upward peaks).</w:t>
      </w:r>
    </w:p>
    <w:p>
      <w:pPr>
        <w:pStyle w:val="ListBullet"/>
        <w:spacing w:after="60" w:line="276" w:lineRule="auto"/>
      </w:pPr>
      <w:r>
        <w:rPr>
          <w:rFonts w:ascii="Calibri" w:hAnsi="Calibri"/>
          <w:color w:val="1E293B"/>
          <w:sz w:val="20"/>
        </w:rPr>
        <w:t>Harmonic Scaling Factor: Slider control (0.800 to 1.100) to account for vibrational anharmonicity and basis set truncation.</w:t>
      </w:r>
    </w:p>
    <w:p>
      <w:pPr>
        <w:pStyle w:val="ListBullet"/>
        <w:spacing w:after="60" w:line="276" w:lineRule="auto"/>
      </w:pPr>
      <w:r>
        <w:rPr>
          <w:rFonts w:ascii="Calibri" w:hAnsi="Calibri"/>
          <w:color w:val="1E293B"/>
          <w:sz w:val="20"/>
        </w:rPr>
        <w:t>Imaginary Frequency TS Verification: Flags imaginary vibrational modes (ν &lt; 0 cm⁻¹) indicating a transition state (first-order saddle point) vs. a true local minimum.</w:t>
      </w:r>
    </w:p>
    <w:p>
      <w:pPr>
        <w:keepNext/>
        <w:spacing w:before="280" w:after="80"/>
      </w:pPr>
      <w:r>
        <w:rPr>
          <w:rFonts w:ascii="Calibri" w:hAnsi="Calibri"/>
          <w:b/>
          <w:color w:val="0F766E"/>
          <w:sz w:val="25"/>
        </w:rPr>
        <w:t>5.5 Two-Box Reaction Thermochemistry &amp; Equilibrium Engine</w:t>
      </w:r>
    </w:p>
    <w:p>
      <w:pPr>
        <w:spacing w:after="100" w:line="276" w:lineRule="auto"/>
      </w:pPr>
      <w:r>
        <w:rPr>
          <w:rFonts w:ascii="Calibri" w:hAnsi="Calibri"/>
          <w:color w:val="1E293B"/>
          <w:sz w:val="20"/>
        </w:rPr>
        <w:t>Evaluates chemical reaction thermodynamics by partitioning total energies into electronic and thermal contributions at arbitrary user-defined temperatures (T) and pressures (P):</w:t>
      </w:r>
    </w:p>
    <w:p>
      <w:pPr>
        <w:pStyle w:val="ListBullet"/>
        <w:spacing w:after="60" w:line="276" w:lineRule="auto"/>
      </w:pPr>
      <w:r>
        <w:rPr>
          <w:rFonts w:ascii="Calibri" w:hAnsi="Calibri"/>
          <w:b/>
          <w:color w:val="1E293B"/>
          <w:sz w:val="20"/>
        </w:rPr>
        <w:t xml:space="preserve">Electronic Reaction Energy (ΔEelec): </w:t>
      </w:r>
      <w:r>
        <w:rPr>
          <w:rFonts w:ascii="Calibri" w:hAnsi="Calibri"/>
          <w:color w:val="1E293B"/>
          <w:sz w:val="20"/>
        </w:rPr>
        <w:t xml:space="preserve"> Electronic energy change ΔEelec = Σ(n·E_prod) - Σ(m·E_react).</w:t>
      </w:r>
    </w:p>
    <w:p>
      <w:pPr>
        <w:pStyle w:val="ListBullet"/>
        <w:spacing w:after="60" w:line="276" w:lineRule="auto"/>
      </w:pPr>
      <w:r>
        <w:rPr>
          <w:rFonts w:ascii="Calibri" w:hAnsi="Calibri"/>
          <w:b/>
          <w:color w:val="1E293B"/>
          <w:sz w:val="20"/>
        </w:rPr>
        <w:t xml:space="preserve">Zero-Point Corrected Energy (ΔE0): </w:t>
      </w:r>
      <w:r>
        <w:rPr>
          <w:rFonts w:ascii="Calibri" w:hAnsi="Calibri"/>
          <w:color w:val="1E293B"/>
          <w:sz w:val="20"/>
        </w:rPr>
        <w:t xml:space="preserve"> Zero-point corrected energy ΔE0 = ΔEelec + ΔZPE.</w:t>
      </w:r>
    </w:p>
    <w:p>
      <w:pPr>
        <w:pStyle w:val="ListBullet"/>
        <w:spacing w:after="60" w:line="276" w:lineRule="auto"/>
      </w:pPr>
      <w:r>
        <w:rPr>
          <w:rFonts w:ascii="Calibri" w:hAnsi="Calibri"/>
          <w:b/>
          <w:color w:val="1E293B"/>
          <w:sz w:val="20"/>
        </w:rPr>
        <w:t xml:space="preserve">Enthalpy of Reaction (ΔH°): </w:t>
      </w:r>
      <w:r>
        <w:rPr>
          <w:rFonts w:ascii="Calibri" w:hAnsi="Calibri"/>
          <w:color w:val="1E293B"/>
          <w:sz w:val="20"/>
        </w:rPr>
        <w:t xml:space="preserve"> Standard Enthalpy of reaction ΔH°(T) = ΔE0 + ΔH_thermal.</w:t>
      </w:r>
    </w:p>
    <w:p>
      <w:pPr>
        <w:pStyle w:val="ListBullet"/>
        <w:spacing w:after="60" w:line="276" w:lineRule="auto"/>
      </w:pPr>
      <w:r>
        <w:rPr>
          <w:rFonts w:ascii="Calibri" w:hAnsi="Calibri"/>
          <w:b/>
          <w:color w:val="1E293B"/>
          <w:sz w:val="20"/>
        </w:rPr>
        <w:t xml:space="preserve">Gibbs Free Energy (ΔG°): </w:t>
      </w:r>
      <w:r>
        <w:rPr>
          <w:rFonts w:ascii="Calibri" w:hAnsi="Calibri"/>
          <w:color w:val="1E293B"/>
          <w:sz w:val="20"/>
        </w:rPr>
        <w:t xml:space="preserve"> Standard Gibbs Free Energy of reaction ΔG°(T) = ΔH°(T) - T·ΔS°(T).</w:t>
      </w:r>
    </w:p>
    <w:p>
      <w:pPr>
        <w:pStyle w:val="ListBullet"/>
        <w:spacing w:after="60" w:line="276" w:lineRule="auto"/>
      </w:pPr>
      <w:r>
        <w:rPr>
          <w:rFonts w:ascii="Calibri" w:hAnsi="Calibri"/>
          <w:b/>
          <w:color w:val="1E293B"/>
          <w:sz w:val="20"/>
        </w:rPr>
        <w:t xml:space="preserve">Entropy of Reaction (ΔS°): </w:t>
      </w:r>
      <w:r>
        <w:rPr>
          <w:rFonts w:ascii="Calibri" w:hAnsi="Calibri"/>
          <w:color w:val="1E293B"/>
          <w:sz w:val="20"/>
        </w:rPr>
        <w:t xml:space="preserve"> Standard Entropy of reaction ΔS°(T) = (ΔH° - ΔG°) / T, precisely converted to cal/(mol·K) and SI units J/(mol·K) (where 1 cal = 4.184 J).</w:t>
      </w:r>
    </w:p>
    <w:p>
      <w:pPr>
        <w:pStyle w:val="ListBullet"/>
        <w:spacing w:after="60" w:line="276" w:lineRule="auto"/>
      </w:pPr>
      <w:r>
        <w:rPr>
          <w:rFonts w:ascii="Calibri" w:hAnsi="Calibri"/>
          <w:b/>
          <w:color w:val="1E293B"/>
          <w:sz w:val="20"/>
        </w:rPr>
        <w:t xml:space="preserve">Equilibrium Constant (Keq): </w:t>
      </w:r>
      <w:r>
        <w:rPr>
          <w:rFonts w:ascii="Calibri" w:hAnsi="Calibri"/>
          <w:color w:val="1E293B"/>
          <w:sz w:val="20"/>
        </w:rPr>
        <w:t xml:space="preserve"> Thermodynamic Equilibrium Constant Keq = exp(-ΔG° / RT) with numerical underflow/overflow bounds checking.</w:t>
      </w:r>
    </w:p>
    <w:p>
      <w:pPr>
        <w:pStyle w:val="ListBullet"/>
        <w:spacing w:after="60" w:line="276" w:lineRule="auto"/>
      </w:pPr>
      <w:r>
        <w:rPr>
          <w:rFonts w:ascii="Calibri" w:hAnsi="Calibri"/>
          <w:b/>
          <w:color w:val="1E293B"/>
          <w:sz w:val="20"/>
        </w:rPr>
        <w:t xml:space="preserve">Quasi-RRHO Entropy: </w:t>
      </w:r>
      <w:r>
        <w:rPr>
          <w:rFonts w:ascii="Calibri" w:hAnsi="Calibri"/>
          <w:color w:val="1E293B"/>
          <w:sz w:val="20"/>
        </w:rPr>
        <w:t xml:space="preserve"> Grimme's Quasi-RRHO (Rigid-Rotor Harmonic-Oscillator) interpolation for low-frequency vibrational entropy corrections.</w:t>
      </w:r>
    </w:p>
    <w:p>
      <w:pPr>
        <w:pStyle w:val="ListBullet"/>
        <w:spacing w:after="60" w:line="276" w:lineRule="auto"/>
      </w:pPr>
      <w:r>
        <w:rPr>
          <w:rFonts w:ascii="Calibri" w:hAnsi="Calibri"/>
          <w:b/>
          <w:color w:val="1E293B"/>
          <w:sz w:val="20"/>
        </w:rPr>
        <w:t xml:space="preserve">Bond Dissociation Energy (BDE): </w:t>
      </w:r>
      <w:r>
        <w:rPr>
          <w:rFonts w:ascii="Calibri" w:hAnsi="Calibri"/>
          <w:color w:val="1E293B"/>
          <w:sz w:val="20"/>
        </w:rPr>
        <w:t xml:space="preserve"> Automated Bond Dissociation Energy (BDE) calculation for homolytic and heterolytic bond cleavage.</w:t>
      </w:r>
    </w:p>
    <w:p>
      <w:pPr>
        <w:keepNext/>
        <w:spacing w:before="280" w:after="80"/>
      </w:pPr>
      <w:r>
        <w:rPr>
          <w:rFonts w:ascii="Calibri" w:hAnsi="Calibri"/>
          <w:b/>
          <w:color w:val="0F766E"/>
          <w:sz w:val="25"/>
        </w:rPr>
        <w:t>5.6 Scientific Consistency &amp; Quality Audit Engine</w:t>
      </w:r>
    </w:p>
    <w:p>
      <w:pPr>
        <w:spacing w:after="100" w:line="276" w:lineRule="auto"/>
      </w:pPr>
      <w:r>
        <w:rPr>
          <w:rFonts w:ascii="Calibri" w:hAnsi="Calibri"/>
          <w:b/>
          <w:color w:val="1E293B"/>
          <w:sz w:val="20"/>
        </w:rPr>
        <w:t xml:space="preserve">Automated Quality Checks: </w:t>
      </w:r>
      <w:r>
        <w:rPr>
          <w:rFonts w:ascii="Calibri" w:hAnsi="Calibri"/>
          <w:color w:val="1E293B"/>
          <w:sz w:val="20"/>
        </w:rPr>
        <w:t>To prevent invalid thermodynamic comparisons, the Audit Engine automatically inspects all participating species in a reaction:</w:t>
      </w:r>
    </w:p>
    <w:p>
      <w:pPr>
        <w:pStyle w:val="ListBullet"/>
        <w:spacing w:after="60" w:line="276" w:lineRule="auto"/>
      </w:pPr>
      <w:r>
        <w:rPr>
          <w:rFonts w:ascii="Calibri" w:hAnsi="Calibri"/>
          <w:color w:val="1E293B"/>
          <w:sz w:val="20"/>
        </w:rPr>
        <w:t>Stoichiometric atom and charge balance check.</w:t>
      </w:r>
    </w:p>
    <w:p>
      <w:pPr>
        <w:pStyle w:val="ListBullet"/>
        <w:spacing w:after="60" w:line="276" w:lineRule="auto"/>
      </w:pPr>
      <w:r>
        <w:rPr>
          <w:rFonts w:ascii="Calibri" w:hAnsi="Calibri"/>
          <w:color w:val="1E293B"/>
          <w:sz w:val="20"/>
        </w:rPr>
        <w:t>Level of theory audit: Flags discrepancies in DFT functionals (e.g., mixing B3LYP with PBE0).</w:t>
      </w:r>
    </w:p>
    <w:p>
      <w:pPr>
        <w:pStyle w:val="ListBullet"/>
        <w:spacing w:after="60" w:line="276" w:lineRule="auto"/>
      </w:pPr>
      <w:r>
        <w:rPr>
          <w:rFonts w:ascii="Calibri" w:hAnsi="Calibri"/>
          <w:color w:val="1E293B"/>
          <w:sz w:val="20"/>
        </w:rPr>
        <w:t>Basis set consistency audit: Flags mixed basis set qualities (e.g., def2-SVP vs def2-TZVP).</w:t>
      </w:r>
    </w:p>
    <w:p>
      <w:pPr>
        <w:pStyle w:val="ListBullet"/>
        <w:spacing w:after="60" w:line="276" w:lineRule="auto"/>
      </w:pPr>
      <w:r>
        <w:rPr>
          <w:rFonts w:ascii="Calibri" w:hAnsi="Calibri"/>
          <w:color w:val="1E293B"/>
          <w:sz w:val="20"/>
        </w:rPr>
        <w:t>Solvation model &amp; dielectric check: Ensures all species share identical solvent parameters.</w:t>
      </w:r>
    </w:p>
    <w:p>
      <w:pPr>
        <w:pStyle w:val="ListBullet"/>
        <w:spacing w:after="60" w:line="276" w:lineRule="auto"/>
      </w:pPr>
      <w:r>
        <w:rPr>
          <w:rFonts w:ascii="Calibri" w:hAnsi="Calibri"/>
          <w:color w:val="1E293B"/>
          <w:sz w:val="20"/>
        </w:rPr>
        <w:t>Temperature &amp; pressure synchronization check.</w:t>
      </w:r>
    </w:p>
    <w:p>
      <w:pPr>
        <w:keepNext/>
        <w:spacing w:before="360" w:after="120"/>
      </w:pPr>
      <w:r>
        <w:rPr>
          <w:rFonts w:ascii="Calibri" w:hAnsi="Calibri"/>
          <w:b/>
          <w:color w:val="0B2C52"/>
          <w:sz w:val="31"/>
        </w:rPr>
        <w:t>6. Troubleshooting, Best Practices &amp; Scientific FAQ</w:t>
      </w:r>
    </w:p>
    <w:p>
      <w:pPr>
        <w:keepNext/>
        <w:spacing w:before="280" w:after="80"/>
      </w:pPr>
      <w:r>
        <w:rPr>
          <w:rFonts w:ascii="Calibri" w:hAnsi="Calibri"/>
          <w:b/>
          <w:color w:val="0F766E"/>
          <w:sz w:val="25"/>
        </w:rPr>
        <w:t>6.1 Resolving SCF Convergence Failures</w:t>
      </w:r>
    </w:p>
    <w:p>
      <w:pPr>
        <w:pStyle w:val="ListBullet"/>
        <w:spacing w:after="60" w:line="276" w:lineRule="auto"/>
      </w:pPr>
      <w:r>
        <w:rPr>
          <w:rFonts w:ascii="Calibri" w:hAnsi="Calibri"/>
          <w:color w:val="1E293B"/>
          <w:sz w:val="20"/>
        </w:rPr>
        <w:t>Difficult transition metal complexes or open-shell radical systems may exhibit oscillating SCF cycles. Recommended keywords: `! VeryTightSCF SlowConv KDIIS SOSCF`.</w:t>
      </w:r>
    </w:p>
    <w:p>
      <w:pPr>
        <w:pStyle w:val="ListBullet"/>
        <w:spacing w:after="60" w:line="276" w:lineRule="auto"/>
      </w:pPr>
      <w:r>
        <w:rPr>
          <w:rFonts w:ascii="Calibri" w:hAnsi="Calibri"/>
          <w:color w:val="1E293B"/>
          <w:sz w:val="20"/>
        </w:rPr>
        <w:t>Ensure initial geometries are reasonable: run an initial force field or B97-3c pre-optimization before submitting high-level hybrid DFT.</w:t>
      </w:r>
    </w:p>
    <w:p>
      <w:pPr>
        <w:keepNext/>
        <w:spacing w:before="280" w:after="80"/>
      </w:pPr>
      <w:r>
        <w:rPr>
          <w:rFonts w:ascii="Calibri" w:hAnsi="Calibri"/>
          <w:b/>
          <w:color w:val="0F766E"/>
          <w:sz w:val="25"/>
        </w:rPr>
        <w:t>6.2 Preventing Kaggle Memory / Disk Allocation Errors</w:t>
      </w:r>
    </w:p>
    <w:p>
      <w:pPr>
        <w:pStyle w:val="ListBullet"/>
        <w:spacing w:after="60" w:line="276" w:lineRule="auto"/>
      </w:pPr>
      <w:r>
        <w:rPr>
          <w:rFonts w:ascii="Calibri" w:hAnsi="Calibri"/>
          <w:color w:val="1E293B"/>
          <w:sz w:val="20"/>
        </w:rPr>
        <w:t>Keep `%maxcore` within 5000-6000 MB per core for 4-core jobs. Total memory must not exceed 24,000 MB (Kaggle limit is 30 GB).</w:t>
      </w:r>
    </w:p>
    <w:p>
      <w:pPr>
        <w:pStyle w:val="ListBullet"/>
        <w:spacing w:after="60" w:line="276" w:lineRule="auto"/>
      </w:pPr>
      <w:r>
        <w:rPr>
          <w:rFonts w:ascii="Calibri" w:hAnsi="Calibri"/>
          <w:color w:val="1E293B"/>
          <w:sz w:val="20"/>
        </w:rPr>
        <w:t>Use `mode='essential'` when downloading results if bandwidth is limited; this eliminates heavy scratch wavefunctions (`.gbw`).</w:t>
      </w:r>
    </w:p>
    <w:p>
      <w:pPr>
        <w:keepNext/>
        <w:spacing w:before="280" w:after="80"/>
      </w:pPr>
      <w:r>
        <w:rPr>
          <w:rFonts w:ascii="Calibri" w:hAnsi="Calibri"/>
          <w:b/>
          <w:color w:val="0F766E"/>
          <w:sz w:val="25"/>
        </w:rPr>
        <w:t>6.3 Transition State Optimization (OptTS) &amp; Frequency Verification</w:t>
      </w:r>
    </w:p>
    <w:p>
      <w:pPr>
        <w:pStyle w:val="ListBullet"/>
        <w:spacing w:after="60" w:line="276" w:lineRule="auto"/>
      </w:pPr>
      <w:r>
        <w:rPr>
          <w:rFonts w:ascii="Calibri" w:hAnsi="Calibri"/>
          <w:color w:val="1E293B"/>
          <w:sz w:val="20"/>
        </w:rPr>
        <w:t>Always verify that an `OptTS` calculation produces exactly one imaginary frequency (e.g., `-342.5 cm⁻¹`).</w:t>
      </w:r>
    </w:p>
    <w:p>
      <w:pPr>
        <w:pStyle w:val="ListBullet"/>
        <w:spacing w:after="60" w:line="276" w:lineRule="auto"/>
      </w:pPr>
      <w:r>
        <w:rPr>
          <w:rFonts w:ascii="Calibri" w:hAnsi="Calibri"/>
          <w:color w:val="1E293B"/>
          <w:sz w:val="20"/>
        </w:rPr>
        <w:t>Follow with an Intrinsic Reaction Coordinate (IRC) calculation to confirm the TS connects the correct reactant and product wells.</w:t>
      </w:r>
    </w:p>
    <w:p>
      <w:pPr>
        <w:keepNext/>
        <w:spacing w:before="360" w:after="120"/>
      </w:pPr>
      <w:r>
        <w:rPr>
          <w:rFonts w:ascii="Calibri" w:hAnsi="Calibri"/>
          <w:b/>
          <w:color w:val="0B2C52"/>
          <w:sz w:val="31"/>
        </w:rPr>
        <w:t>7. Academic Citation Guide &amp; Scientific Attribution</w:t>
      </w:r>
    </w:p>
    <w:p>
      <w:pPr>
        <w:spacing w:after="100" w:line="276" w:lineRule="auto"/>
      </w:pPr>
      <w:r>
        <w:rPr>
          <w:rFonts w:ascii="Calibri" w:hAnsi="Calibri"/>
          <w:color w:val="1E293B"/>
          <w:sz w:val="20"/>
        </w:rPr>
        <w:t>When publishing research, articles, or computational datasets obtained using ORCA Web Lab, please include the following academic citations for the platform and the underlying software packages:</w:t>
      </w:r>
    </w:p>
    <w:p>
      <w:pPr>
        <w:keepNext/>
        <w:spacing w:before="280" w:after="80"/>
      </w:pPr>
      <w:r>
        <w:rPr>
          <w:rFonts w:ascii="Calibri" w:hAnsi="Calibri"/>
          <w:b/>
          <w:color w:val="0F766E"/>
          <w:sz w:val="25"/>
        </w:rPr>
        <w:t>7.1 How to Cite ORCA Web Lab</w:t>
      </w:r>
    </w:p>
    <w:p>
      <w:pPr>
        <w:spacing w:after="100" w:line="276" w:lineRule="auto"/>
      </w:pPr>
      <w:r>
        <w:rPr>
          <w:rFonts w:ascii="Calibri" w:hAnsi="Calibri"/>
          <w:b/>
          <w:color w:val="1E293B"/>
          <w:sz w:val="20"/>
        </w:rPr>
        <w:t xml:space="preserve">1. </w:t>
      </w:r>
      <w:r>
        <w:rPr>
          <w:rFonts w:ascii="Calibri" w:hAnsi="Calibri"/>
          <w:color w:val="1E293B"/>
          <w:sz w:val="20"/>
        </w:rPr>
        <w:t>BibTeX Entry: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F8FAFC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before="0" w:after="0"/>
            </w:pPr>
            <w:r>
              <w:rPr>
                <w:rFonts w:ascii="Consolas" w:hAnsi="Consolas"/>
                <w:color w:val="0F172A"/>
                <w:sz w:val="17"/>
              </w:rPr>
              <w:t>@software{Hasan2026OrcaWebLab,</w:t>
              <w:br/>
              <w:t xml:space="preserve">  author       = {Hasan, Abdulsalam S.},</w:t>
              <w:br/>
              <w:t xml:space="preserve">  title        = {{ORCA Web Lab: An Interactive Web-Based Computational Chemistry and Quantum Analysis Suite}},</w:t>
              <w:br/>
              <w:t xml:space="preserve">  year         = {2026},</w:t>
              <w:br/>
              <w:t xml:space="preserve">  version      = {2.5},</w:t>
              <w:br/>
              <w:t xml:space="preserve">  url          = {https://github.com/abd19990044-commits/chemistry-web-lab},</w:t>
              <w:br/>
              <w:t xml:space="preserve">  note         = {Compatible with ORCA 6.1 program system}</w:t>
              <w:br/>
              <w:t>}</w:t>
            </w:r>
          </w:p>
        </w:tc>
      </w:tr>
    </w:tbl>
    <w:p>
      <w:pPr>
        <w:spacing w:after="60"/>
      </w:pPr>
    </w:p>
    <w:p>
      <w:pPr>
        <w:spacing w:after="100" w:line="276" w:lineRule="auto"/>
      </w:pPr>
      <w:r>
        <w:rPr>
          <w:rFonts w:ascii="Calibri" w:hAnsi="Calibri"/>
          <w:b/>
          <w:color w:val="1E293B"/>
          <w:sz w:val="20"/>
        </w:rPr>
        <w:t xml:space="preserve">2. </w:t>
      </w:r>
      <w:r>
        <w:rPr>
          <w:rFonts w:ascii="Calibri" w:hAnsi="Calibri"/>
          <w:color w:val="1E293B"/>
          <w:sz w:val="20"/>
        </w:rPr>
        <w:t>ACS / Vancouver Chemistry Format:</w:t>
      </w:r>
    </w:p>
    <w:p>
      <w:pPr>
        <w:spacing w:after="160" w:line="276" w:lineRule="auto"/>
      </w:pPr>
      <w:r>
        <w:rPr>
          <w:rFonts w:ascii="Calibri" w:hAnsi="Calibri"/>
          <w:color w:val="1E293B"/>
          <w:sz w:val="20"/>
        </w:rPr>
        <w:t>Hasan, A. S. ORCA Web Lab, version 2.5; Advanced Quantum Chemical Modeling &amp; Spectroscopic Analysis Platform, 2026. https://github.com/abd19990044-commits/chemistry-web-lab</w:t>
      </w:r>
    </w:p>
    <w:p>
      <w:pPr>
        <w:spacing w:after="100" w:line="276" w:lineRule="auto"/>
      </w:pPr>
      <w:r>
        <w:rPr>
          <w:rFonts w:ascii="Calibri" w:hAnsi="Calibri"/>
          <w:b/>
          <w:color w:val="1E293B"/>
          <w:sz w:val="20"/>
        </w:rPr>
        <w:t xml:space="preserve">3. </w:t>
      </w:r>
      <w:r>
        <w:rPr>
          <w:rFonts w:ascii="Calibri" w:hAnsi="Calibri"/>
          <w:color w:val="1E293B"/>
          <w:sz w:val="20"/>
        </w:rPr>
        <w:t>APA 7th Edition Format:</w:t>
      </w:r>
    </w:p>
    <w:p>
      <w:pPr>
        <w:spacing w:after="160" w:line="276" w:lineRule="auto"/>
      </w:pPr>
      <w:r>
        <w:rPr>
          <w:rFonts w:ascii="Calibri" w:hAnsi="Calibri"/>
          <w:color w:val="1E293B"/>
          <w:sz w:val="20"/>
        </w:rPr>
        <w:t>Hasan, A. S. (2026). ORCA Web Lab: An Interactive Web-Based Computational Chemistry Suite (Version 2.5) [Computer software]. Retrieved from https://github.com/abd19990044-commits/chemistry-web-lab</w:t>
      </w:r>
    </w:p>
    <w:p>
      <w:pPr>
        <w:keepNext/>
        <w:spacing w:before="280" w:after="80"/>
      </w:pPr>
      <w:r>
        <w:rPr>
          <w:rFonts w:ascii="Calibri" w:hAnsi="Calibri"/>
          <w:b/>
          <w:color w:val="0F766E"/>
          <w:sz w:val="25"/>
        </w:rPr>
        <w:t>7.2 Underlying Scientific Packages &amp; Theoretical References</w:t>
      </w:r>
    </w:p>
    <w:p>
      <w:pPr>
        <w:pStyle w:val="ListBullet"/>
        <w:spacing w:after="60" w:line="276" w:lineRule="auto"/>
      </w:pPr>
      <w:r>
        <w:rPr>
          <w:rFonts w:ascii="Calibri" w:hAnsi="Calibri"/>
          <w:b/>
          <w:color w:val="1E293B"/>
          <w:sz w:val="20"/>
        </w:rPr>
        <w:t xml:space="preserve">ORCA Electronic Structure Package: </w:t>
      </w:r>
      <w:r>
        <w:rPr>
          <w:rFonts w:ascii="Calibri" w:hAnsi="Calibri"/>
          <w:color w:val="1E293B"/>
          <w:sz w:val="20"/>
        </w:rPr>
        <w:t xml:space="preserve"> Neese, F. (2022). Software update: The ORCA program system—Version 5.0. WIREs Comput. Mol. Sci., 12(5), e1606. / Neese, F. et al. (2026). The ORCA Quantum Chemistry Program System (Version 6.1).</w:t>
      </w:r>
    </w:p>
    <w:p>
      <w:pPr>
        <w:pStyle w:val="ListBullet"/>
        <w:spacing w:after="60" w:line="276" w:lineRule="auto"/>
      </w:pPr>
      <w:r>
        <w:rPr>
          <w:rFonts w:ascii="Calibri" w:hAnsi="Calibri"/>
          <w:b/>
          <w:color w:val="1E293B"/>
          <w:sz w:val="20"/>
        </w:rPr>
        <w:t xml:space="preserve">RDKit Chemoinformatics Library: </w:t>
      </w:r>
      <w:r>
        <w:rPr>
          <w:rFonts w:ascii="Calibri" w:hAnsi="Calibri"/>
          <w:color w:val="1E293B"/>
          <w:sz w:val="20"/>
        </w:rPr>
        <w:t xml:space="preserve"> Landrum, G. et al. (2026). RDKit: Open-source cheminformatics and machine learning toolkit. http://www.rdkit.org</w:t>
      </w:r>
    </w:p>
    <w:p>
      <w:pPr>
        <w:pStyle w:val="ListBullet"/>
        <w:spacing w:after="60" w:line="276" w:lineRule="auto"/>
      </w:pPr>
      <w:r>
        <w:rPr>
          <w:rFonts w:ascii="Calibri" w:hAnsi="Calibri"/>
          <w:b/>
          <w:color w:val="1E293B"/>
          <w:sz w:val="20"/>
        </w:rPr>
        <w:t xml:space="preserve">3Dmol.js WebGL Visualizer: </w:t>
      </w:r>
      <w:r>
        <w:rPr>
          <w:rFonts w:ascii="Calibri" w:hAnsi="Calibri"/>
          <w:color w:val="1E293B"/>
          <w:sz w:val="20"/>
        </w:rPr>
        <w:t xml:space="preserve"> Rego, N., &amp; Koes, D. (2015). 3Dmol.js: molecular visualization with WebGL. Bioinformatics, 31(8), 1322-1324.</w:t>
      </w:r>
    </w:p>
    <w:p>
      <w:pPr>
        <w:pStyle w:val="ListBullet"/>
        <w:spacing w:after="60" w:line="276" w:lineRule="auto"/>
      </w:pPr>
      <w:r>
        <w:rPr>
          <w:rFonts w:ascii="Calibri" w:hAnsi="Calibri"/>
          <w:b/>
          <w:color w:val="1E293B"/>
          <w:sz w:val="20"/>
        </w:rPr>
        <w:t xml:space="preserve">MultiWfn Wavefunction Analyzer: </w:t>
      </w:r>
      <w:r>
        <w:rPr>
          <w:rFonts w:ascii="Calibri" w:hAnsi="Calibri"/>
          <w:color w:val="1E293B"/>
          <w:sz w:val="20"/>
        </w:rPr>
        <w:t xml:space="preserve"> Lu, T., &amp; Chen, F. (2012). Multiwfn: A multifunctional wavefunction analyzer. J. Comput. Chem., 33(5), 580-592.</w:t>
      </w:r>
    </w:p>
    <w:p>
      <w:pPr>
        <w:pStyle w:val="ListBullet"/>
        <w:spacing w:after="60" w:line="276" w:lineRule="auto"/>
      </w:pPr>
      <w:r>
        <w:rPr>
          <w:rFonts w:ascii="Calibri" w:hAnsi="Calibri"/>
          <w:b/>
          <w:color w:val="1E293B"/>
          <w:sz w:val="20"/>
        </w:rPr>
        <w:t xml:space="preserve">Grimme Dispersion Corrections (DFT-D3/D4): </w:t>
      </w:r>
      <w:r>
        <w:rPr>
          <w:rFonts w:ascii="Calibri" w:hAnsi="Calibri"/>
          <w:color w:val="1E293B"/>
          <w:sz w:val="20"/>
        </w:rPr>
        <w:t xml:space="preserve"> Grimme, S., Antony, J., Ehrlich, S., &amp; Krieg, H. (2010). A consistent and accurate ab initio parametrization of density functional dispersion correction (DFT-D3). J. Chem. Phys., 132(15), 154104.</w:t>
      </w:r>
    </w:p>
    <w:p>
      <w:pPr>
        <w:pStyle w:val="ListBullet"/>
        <w:spacing w:after="60" w:line="276" w:lineRule="auto"/>
      </w:pPr>
      <w:r>
        <w:rPr>
          <w:rFonts w:ascii="Calibri" w:hAnsi="Calibri"/>
          <w:b/>
          <w:color w:val="1E293B"/>
          <w:sz w:val="20"/>
        </w:rPr>
        <w:t xml:space="preserve">Grimme Quasi-RRHO Thermochemistry: </w:t>
      </w:r>
      <w:r>
        <w:rPr>
          <w:rFonts w:ascii="Calibri" w:hAnsi="Calibri"/>
          <w:color w:val="1E293B"/>
          <w:sz w:val="20"/>
        </w:rPr>
        <w:t xml:space="preserve"> Grimme, S. (2012). An improved modified rigid-rotor-harmonic-oscillator (quasi-RRHO) model for calculating entropy corrections. Chem. Eur. J., 18(32), 9955-9964.</w:t>
      </w:r>
    </w:p>
    <w:p>
      <w:pPr>
        <w:pStyle w:val="ListBullet"/>
        <w:spacing w:after="60" w:line="276" w:lineRule="auto"/>
      </w:pPr>
      <w:r>
        <w:rPr>
          <w:rFonts w:ascii="Calibri" w:hAnsi="Calibri"/>
          <w:b/>
          <w:color w:val="1E293B"/>
          <w:sz w:val="20"/>
        </w:rPr>
        <w:t xml:space="preserve">Composite Methods (r2SCAN-3c, B97-3c): </w:t>
      </w:r>
      <w:r>
        <w:rPr>
          <w:rFonts w:ascii="Calibri" w:hAnsi="Calibri"/>
          <w:color w:val="1E293B"/>
          <w:sz w:val="20"/>
        </w:rPr>
        <w:t xml:space="preserve"> Grimme, S., Bannwarth, C., &amp; Shushkov, P. (2017). A robust and accurate tight-binding quantum chemical method for structures, vibrational frequencies, and noncovalent interactions. J. Chem. Theory Comput., 13(5), 1989-2009.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6E6E6E"/>
        <w:sz w:val="17"/>
      </w:rPr>
      <w:t>ORCA Web Lab • Developed by ABDULSALAM S. HASAN • Compatible with ORCA 6.1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E6E6E"/>
        <w:sz w:val="17"/>
      </w:rPr>
      <w:t>ORCA Web Lab — Academic User Manual &amp; Technical Reference Guide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